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s>
        <w:jc w:val="center"/>
        <w:rPr>
          <w:rFonts w:ascii="宋体" w:hAnsi="宋体" w:eastAsia="宋体"/>
          <w:b/>
          <w:sz w:val="32"/>
          <w:szCs w:val="32"/>
        </w:rPr>
      </w:pPr>
      <w:r>
        <w:rPr>
          <w:rFonts w:hint="eastAsia" w:ascii="宋体" w:hAnsi="宋体" w:eastAsia="宋体"/>
          <w:b/>
          <w:sz w:val="32"/>
          <w:szCs w:val="32"/>
        </w:rPr>
        <w:t>新会区残疾人联合会康复设备采购清单</w:t>
      </w:r>
    </w:p>
    <w:tbl>
      <w:tblPr>
        <w:tblStyle w:val="6"/>
        <w:tblW w:w="975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09"/>
        <w:gridCol w:w="710"/>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96" w:type="dxa"/>
            <w:shd w:val="clear" w:color="auto" w:fill="auto"/>
            <w:vAlign w:val="center"/>
          </w:tcPr>
          <w:p>
            <w:pPr>
              <w:widowControl/>
              <w:jc w:val="center"/>
              <w:rPr>
                <w:rFonts w:ascii="宋体" w:hAnsi="宋体" w:eastAsia="宋体"/>
                <w:b/>
                <w:bCs/>
                <w:color w:val="000000"/>
                <w:kern w:val="0"/>
                <w:szCs w:val="21"/>
              </w:rPr>
            </w:pPr>
            <w:r>
              <w:rPr>
                <w:rFonts w:hint="eastAsia" w:ascii="宋体" w:hAnsi="宋体" w:eastAsia="宋体"/>
                <w:b/>
                <w:bCs/>
                <w:color w:val="000000"/>
                <w:kern w:val="0"/>
                <w:szCs w:val="21"/>
              </w:rPr>
              <w:t>序号</w:t>
            </w:r>
          </w:p>
        </w:tc>
        <w:tc>
          <w:tcPr>
            <w:tcW w:w="709" w:type="dxa"/>
            <w:shd w:val="clear" w:color="auto" w:fill="auto"/>
            <w:vAlign w:val="center"/>
          </w:tcPr>
          <w:p>
            <w:pPr>
              <w:widowControl/>
              <w:jc w:val="center"/>
              <w:rPr>
                <w:rFonts w:ascii="宋体" w:hAnsi="宋体" w:eastAsia="宋体"/>
                <w:b/>
                <w:bCs/>
                <w:color w:val="000000"/>
                <w:kern w:val="0"/>
                <w:szCs w:val="21"/>
              </w:rPr>
            </w:pPr>
            <w:r>
              <w:rPr>
                <w:rFonts w:hint="eastAsia" w:ascii="宋体" w:hAnsi="宋体" w:eastAsia="宋体"/>
                <w:b/>
                <w:bCs/>
                <w:color w:val="000000"/>
                <w:kern w:val="0"/>
                <w:szCs w:val="21"/>
              </w:rPr>
              <w:t>产品名称</w:t>
            </w:r>
          </w:p>
        </w:tc>
        <w:tc>
          <w:tcPr>
            <w:tcW w:w="710" w:type="dxa"/>
          </w:tcPr>
          <w:p>
            <w:pPr>
              <w:widowControl/>
              <w:jc w:val="center"/>
              <w:rPr>
                <w:rFonts w:ascii="宋体" w:hAnsi="宋体" w:eastAsia="宋体"/>
                <w:b/>
                <w:bCs/>
                <w:color w:val="000000"/>
                <w:kern w:val="0"/>
                <w:szCs w:val="21"/>
              </w:rPr>
            </w:pPr>
            <w:r>
              <w:rPr>
                <w:rFonts w:hint="eastAsia" w:ascii="宋体" w:hAnsi="宋体" w:eastAsia="宋体"/>
                <w:b/>
                <w:bCs/>
                <w:color w:val="000000"/>
                <w:kern w:val="0"/>
                <w:szCs w:val="21"/>
              </w:rPr>
              <w:t>数量</w:t>
            </w:r>
          </w:p>
        </w:tc>
        <w:tc>
          <w:tcPr>
            <w:tcW w:w="7938" w:type="dxa"/>
            <w:shd w:val="clear" w:color="auto" w:fill="auto"/>
            <w:vAlign w:val="center"/>
          </w:tcPr>
          <w:p>
            <w:pPr>
              <w:widowControl/>
              <w:jc w:val="center"/>
              <w:rPr>
                <w:rFonts w:ascii="宋体" w:hAnsi="宋体" w:eastAsia="宋体"/>
                <w:b/>
                <w:bCs/>
                <w:color w:val="000000"/>
                <w:kern w:val="0"/>
                <w:szCs w:val="21"/>
              </w:rPr>
            </w:pPr>
            <w:r>
              <w:rPr>
                <w:rFonts w:hint="eastAsia" w:ascii="宋体" w:hAnsi="宋体" w:eastAsia="宋体"/>
                <w:b/>
                <w:bCs/>
                <w:color w:val="000000"/>
                <w:kern w:val="0"/>
                <w:szCs w:val="21"/>
              </w:rPr>
              <w:t>功能及要求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96" w:type="dxa"/>
            <w:shd w:val="clear" w:color="auto" w:fill="auto"/>
            <w:noWrap/>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1</w:t>
            </w:r>
          </w:p>
        </w:tc>
        <w:tc>
          <w:tcPr>
            <w:tcW w:w="709" w:type="dxa"/>
            <w:shd w:val="clear" w:color="auto" w:fill="auto"/>
            <w:vAlign w:val="center"/>
          </w:tcPr>
          <w:p>
            <w:pPr>
              <w:widowControl/>
              <w:jc w:val="center"/>
              <w:rPr>
                <w:rFonts w:ascii="宋体" w:hAnsi="宋体" w:eastAsia="宋体"/>
                <w:color w:val="000000"/>
                <w:kern w:val="0"/>
                <w:szCs w:val="21"/>
              </w:rPr>
            </w:pPr>
            <w:r>
              <w:rPr>
                <w:rFonts w:hint="eastAsia" w:ascii="宋体" w:hAnsi="宋体" w:eastAsia="宋体" w:cs="Arial"/>
                <w:bCs/>
                <w:kern w:val="0"/>
                <w:sz w:val="24"/>
                <w:szCs w:val="24"/>
              </w:rPr>
              <w:t>沉浸式4D体感教学系统</w:t>
            </w:r>
          </w:p>
        </w:tc>
        <w:tc>
          <w:tcPr>
            <w:tcW w:w="710" w:type="dxa"/>
          </w:tcPr>
          <w:p>
            <w:pPr>
              <w:spacing w:line="360" w:lineRule="auto"/>
              <w:rPr>
                <w:rFonts w:ascii="宋体" w:hAnsi="宋体" w:eastAsia="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1套</w:t>
            </w:r>
          </w:p>
        </w:tc>
        <w:tc>
          <w:tcPr>
            <w:tcW w:w="7938" w:type="dxa"/>
            <w:shd w:val="clear" w:color="auto" w:fill="auto"/>
            <w:vAlign w:val="center"/>
          </w:tcPr>
          <w:p>
            <w:pPr>
              <w:spacing w:line="360" w:lineRule="auto"/>
              <w:rPr>
                <w:rFonts w:ascii="宋体" w:hAnsi="宋体" w:eastAsia="宋体"/>
                <w:b/>
                <w:color w:val="000000"/>
                <w:sz w:val="24"/>
              </w:rPr>
            </w:pPr>
            <w:r>
              <w:rPr>
                <w:rFonts w:ascii="宋体" w:hAnsi="宋体" w:eastAsia="宋体"/>
                <w:b/>
                <w:color w:val="000000"/>
                <w:sz w:val="24"/>
              </w:rPr>
              <w:t>功能用途及技术要求</w:t>
            </w:r>
          </w:p>
          <w:p>
            <w:pPr>
              <w:spacing w:line="360" w:lineRule="auto"/>
              <w:rPr>
                <w:rFonts w:ascii="宋体" w:hAnsi="宋体" w:eastAsia="宋体"/>
                <w:b/>
                <w:color w:val="000000"/>
                <w:sz w:val="24"/>
              </w:rPr>
            </w:pPr>
            <w:r>
              <w:rPr>
                <w:rFonts w:ascii="宋体" w:hAnsi="宋体" w:eastAsia="宋体"/>
                <w:b/>
                <w:color w:val="000000"/>
                <w:sz w:val="24"/>
              </w:rPr>
              <w:t>（一）功能用途</w:t>
            </w:r>
          </w:p>
          <w:p>
            <w:pPr>
              <w:spacing w:line="360" w:lineRule="auto"/>
              <w:rPr>
                <w:rFonts w:ascii="宋体" w:hAnsi="宋体" w:eastAsia="宋体"/>
                <w:color w:val="000000"/>
                <w:sz w:val="24"/>
              </w:rPr>
            </w:pPr>
            <w:r>
              <w:rPr>
                <w:rFonts w:ascii="宋体" w:hAnsi="宋体" w:eastAsia="宋体"/>
                <w:color w:val="000000"/>
                <w:sz w:val="24"/>
              </w:rPr>
              <w:t>1、适合0-6岁孤独症儿童日常教学用。</w:t>
            </w:r>
          </w:p>
          <w:p>
            <w:pPr>
              <w:spacing w:line="360" w:lineRule="auto"/>
              <w:rPr>
                <w:rFonts w:ascii="宋体" w:hAnsi="宋体" w:eastAsia="宋体"/>
                <w:color w:val="000000"/>
                <w:sz w:val="24"/>
              </w:rPr>
            </w:pPr>
            <w:r>
              <w:rPr>
                <w:rFonts w:ascii="宋体" w:hAnsi="宋体" w:eastAsia="宋体"/>
                <w:color w:val="000000"/>
                <w:sz w:val="24"/>
              </w:rPr>
              <w:t>2、以体验式学习理论、情境学习理论和认知理论为基础，将体感交互技术、多媒体技术、3D 与 AR 增强现实技术等应用于儿童教育的过程，通过寓教于乐的形式启发孩子的心智，让孩子真正成为教学中的主体，从而培养孩子的学习兴趣，激发孩子的潜能。训练场景融入现实生活场景，通过人机交互促进人机交往，全方位的感统锻炼，促进大脑发育，体验式学习，分为自主训练模块或主题教学模块等。</w:t>
            </w:r>
          </w:p>
          <w:p>
            <w:pPr>
              <w:spacing w:line="360" w:lineRule="auto"/>
              <w:rPr>
                <w:rFonts w:ascii="宋体" w:hAnsi="宋体" w:eastAsia="宋体"/>
                <w:b/>
                <w:color w:val="000000"/>
                <w:sz w:val="24"/>
              </w:rPr>
            </w:pPr>
            <w:r>
              <w:rPr>
                <w:rFonts w:ascii="宋体" w:hAnsi="宋体" w:eastAsia="宋体"/>
                <w:b/>
                <w:color w:val="000000"/>
                <w:sz w:val="24"/>
              </w:rPr>
              <w:t>（二）硬件技术参数：</w:t>
            </w:r>
          </w:p>
          <w:p>
            <w:pPr>
              <w:spacing w:line="360" w:lineRule="auto"/>
              <w:rPr>
                <w:rFonts w:ascii="宋体" w:hAnsi="宋体" w:eastAsia="宋体"/>
                <w:color w:val="000000"/>
                <w:sz w:val="24"/>
              </w:rPr>
            </w:pPr>
            <w:r>
              <w:rPr>
                <w:rFonts w:ascii="宋体" w:hAnsi="宋体" w:eastAsia="宋体"/>
                <w:color w:val="000000"/>
                <w:sz w:val="24"/>
              </w:rPr>
              <w:t>1、可独立悬挂显示屏幕≥50英寸。</w:t>
            </w:r>
          </w:p>
          <w:p>
            <w:pPr>
              <w:spacing w:line="360" w:lineRule="auto"/>
              <w:rPr>
                <w:rFonts w:ascii="宋体" w:hAnsi="宋体" w:eastAsia="宋体"/>
                <w:color w:val="000000"/>
                <w:sz w:val="24"/>
              </w:rPr>
            </w:pPr>
            <w:r>
              <w:rPr>
                <w:rFonts w:ascii="宋体" w:hAnsi="宋体" w:eastAsia="宋体"/>
                <w:color w:val="000000"/>
                <w:sz w:val="24"/>
              </w:rPr>
              <w:t>2、机柜采用ABS材质制作，安全环保；机柜配置万向轮，可随意移动和固定。</w:t>
            </w:r>
          </w:p>
          <w:p>
            <w:pPr>
              <w:spacing w:line="360" w:lineRule="auto"/>
              <w:rPr>
                <w:rFonts w:ascii="宋体" w:hAnsi="宋体" w:eastAsia="宋体"/>
                <w:color w:val="000000"/>
                <w:sz w:val="24"/>
              </w:rPr>
            </w:pPr>
            <w:r>
              <w:rPr>
                <w:rFonts w:ascii="宋体" w:hAnsi="宋体" w:eastAsia="宋体"/>
                <w:color w:val="000000"/>
                <w:sz w:val="24"/>
              </w:rPr>
              <w:t>3、控制设备：含高速感应摄像头，准确识别人体动作。</w:t>
            </w:r>
          </w:p>
          <w:p>
            <w:pPr>
              <w:spacing w:line="360" w:lineRule="auto"/>
              <w:rPr>
                <w:rFonts w:ascii="宋体" w:hAnsi="宋体" w:eastAsia="宋体"/>
                <w:color w:val="000000"/>
                <w:sz w:val="24"/>
              </w:rPr>
            </w:pPr>
            <w:r>
              <w:rPr>
                <w:rFonts w:ascii="宋体" w:hAnsi="宋体" w:eastAsia="宋体"/>
                <w:color w:val="000000"/>
                <w:sz w:val="24"/>
              </w:rPr>
              <w:t>4、支持四人同时使用。</w:t>
            </w:r>
          </w:p>
          <w:p>
            <w:pPr>
              <w:spacing w:line="360" w:lineRule="auto"/>
              <w:rPr>
                <w:rFonts w:ascii="宋体" w:hAnsi="宋体" w:eastAsia="宋体"/>
                <w:b/>
                <w:color w:val="000000"/>
                <w:sz w:val="24"/>
              </w:rPr>
            </w:pPr>
            <w:r>
              <w:rPr>
                <w:rFonts w:ascii="宋体" w:hAnsi="宋体" w:eastAsia="宋体"/>
                <w:b/>
                <w:color w:val="000000"/>
                <w:sz w:val="24"/>
              </w:rPr>
              <w:t>（三）软件功能参数：</w:t>
            </w:r>
          </w:p>
          <w:p>
            <w:pPr>
              <w:spacing w:line="360" w:lineRule="auto"/>
              <w:rPr>
                <w:rFonts w:ascii="宋体" w:hAnsi="宋体" w:eastAsia="宋体"/>
                <w:color w:val="000000"/>
                <w:sz w:val="24"/>
              </w:rPr>
            </w:pPr>
            <w:r>
              <w:rPr>
                <w:rFonts w:ascii="宋体" w:hAnsi="宋体" w:eastAsia="宋体"/>
                <w:color w:val="000000"/>
                <w:sz w:val="24"/>
              </w:rPr>
              <w:t>1、互动训练内容、训练场景融入现实生活场景。通过人机交互促进人机交往，训练内容包含50个以上训练项目，可分为自主训练模块和主题教学模块等。</w:t>
            </w:r>
          </w:p>
          <w:p>
            <w:pPr>
              <w:spacing w:line="360" w:lineRule="auto"/>
              <w:rPr>
                <w:rFonts w:ascii="宋体" w:hAnsi="宋体" w:eastAsia="宋体"/>
                <w:color w:val="000000"/>
                <w:sz w:val="24"/>
              </w:rPr>
            </w:pPr>
            <w:r>
              <w:rPr>
                <w:rFonts w:ascii="宋体" w:hAnsi="宋体" w:eastAsia="宋体"/>
                <w:color w:val="000000"/>
                <w:sz w:val="24"/>
              </w:rPr>
              <w:t>2、自主训练模块包含自然科学、健康安全、人文素养、语言表达、数学逻辑等模块。</w:t>
            </w:r>
          </w:p>
          <w:p>
            <w:pPr>
              <w:spacing w:line="360" w:lineRule="auto"/>
              <w:rPr>
                <w:rFonts w:ascii="宋体" w:hAnsi="宋体" w:eastAsia="宋体"/>
                <w:color w:val="000000"/>
                <w:sz w:val="24"/>
              </w:rPr>
            </w:pPr>
            <w:r>
              <w:rPr>
                <w:rFonts w:ascii="宋体" w:hAnsi="宋体" w:eastAsia="宋体"/>
                <w:color w:val="000000"/>
                <w:sz w:val="24"/>
              </w:rPr>
              <w:t>3、主题教学模块按照学段区分，如小班上、小班下、中班上、中班下、大班上、大班下六个模块，通过每个模块的教学内容含有不同的主题教学，通过阶段化训练和互动式训练实现模块化训练及交互式学习。</w:t>
            </w:r>
          </w:p>
          <w:p>
            <w:pPr>
              <w:spacing w:line="360" w:lineRule="auto"/>
              <w:rPr>
                <w:rFonts w:ascii="宋体" w:hAnsi="宋体" w:eastAsia="宋体"/>
                <w:color w:val="000000"/>
                <w:sz w:val="24"/>
              </w:rPr>
            </w:pPr>
            <w:r>
              <w:rPr>
                <w:rFonts w:ascii="宋体" w:hAnsi="宋体" w:eastAsia="宋体"/>
                <w:b/>
                <w:color w:val="000000"/>
                <w:sz w:val="24"/>
              </w:rPr>
              <w:t>质保及售后要求</w:t>
            </w:r>
          </w:p>
          <w:p>
            <w:pPr>
              <w:spacing w:line="360" w:lineRule="auto"/>
              <w:rPr>
                <w:rFonts w:ascii="宋体" w:hAnsi="宋体" w:eastAsia="宋体"/>
                <w:color w:val="000000"/>
                <w:sz w:val="24"/>
              </w:rPr>
            </w:pPr>
            <w:r>
              <w:rPr>
                <w:rFonts w:ascii="宋体" w:hAnsi="宋体" w:eastAsia="宋体"/>
                <w:color w:val="000000"/>
                <w:sz w:val="24"/>
              </w:rPr>
              <w:t>1、需提供有制造商盖章的制造商针对本项目的授权书和售后服务承诺书复印件。</w:t>
            </w:r>
          </w:p>
          <w:p>
            <w:pPr>
              <w:spacing w:line="360" w:lineRule="auto"/>
              <w:rPr>
                <w:rFonts w:ascii="宋体" w:hAnsi="宋体" w:eastAsia="宋体"/>
                <w:color w:val="000000"/>
                <w:sz w:val="24"/>
              </w:rPr>
            </w:pPr>
            <w:r>
              <w:rPr>
                <w:rFonts w:ascii="宋体" w:hAnsi="宋体" w:eastAsia="宋体"/>
                <w:color w:val="000000"/>
                <w:sz w:val="24"/>
              </w:rPr>
              <w:t>2、若有国家标准按照国家标准验收，若无国家标准按行业标准验收，为制造商制造的全新产品，整机无污染，无侵权行为、表面无划损、无任何缺陷隐患，在中国境内可依常规安全合法使用。</w:t>
            </w:r>
          </w:p>
          <w:p>
            <w:pPr>
              <w:spacing w:line="360" w:lineRule="auto"/>
              <w:rPr>
                <w:rFonts w:ascii="宋体" w:hAnsi="宋体" w:eastAsia="宋体"/>
                <w:color w:val="000000"/>
                <w:sz w:val="24"/>
              </w:rPr>
            </w:pPr>
            <w:r>
              <w:rPr>
                <w:rFonts w:ascii="宋体" w:hAnsi="宋体" w:eastAsia="宋体"/>
                <w:color w:val="000000"/>
                <w:sz w:val="24"/>
              </w:rPr>
              <w:t>3、硬件质保期至少2年，游戏软件系统终身无偿更新。</w:t>
            </w:r>
          </w:p>
          <w:p>
            <w:pPr>
              <w:spacing w:line="360" w:lineRule="auto"/>
              <w:rPr>
                <w:rFonts w:ascii="宋体" w:hAnsi="宋体" w:eastAsia="宋体"/>
                <w:sz w:val="24"/>
              </w:rPr>
            </w:pPr>
            <w:r>
              <w:rPr>
                <w:rFonts w:ascii="宋体" w:hAnsi="宋体" w:eastAsia="宋体"/>
                <w:color w:val="000000"/>
                <w:sz w:val="24"/>
              </w:rPr>
              <w:t>4、保修期外若维修，仅收取零配件费用，不额外收取其他维修费用。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96" w:type="dxa"/>
            <w:shd w:val="clear" w:color="auto" w:fill="auto"/>
            <w:noWrap/>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2</w:t>
            </w:r>
          </w:p>
        </w:tc>
        <w:tc>
          <w:tcPr>
            <w:tcW w:w="709" w:type="dxa"/>
            <w:shd w:val="clear" w:color="auto" w:fill="auto"/>
            <w:vAlign w:val="center"/>
          </w:tcPr>
          <w:p>
            <w:pPr>
              <w:widowControl/>
              <w:jc w:val="center"/>
              <w:rPr>
                <w:rFonts w:ascii="宋体" w:hAnsi="宋体" w:eastAsia="宋体" w:cs="Arial"/>
                <w:bCs/>
                <w:kern w:val="0"/>
                <w:sz w:val="24"/>
                <w:szCs w:val="24"/>
              </w:rPr>
            </w:pPr>
            <w:r>
              <w:rPr>
                <w:rFonts w:hint="eastAsia" w:ascii="宋体" w:hAnsi="宋体" w:eastAsia="宋体" w:cs="Arial"/>
                <w:bCs/>
                <w:kern w:val="0"/>
                <w:sz w:val="24"/>
                <w:szCs w:val="24"/>
              </w:rPr>
              <w:t>感觉统合器具</w:t>
            </w:r>
          </w:p>
        </w:tc>
        <w:tc>
          <w:tcPr>
            <w:tcW w:w="710" w:type="dxa"/>
          </w:tcPr>
          <w:p>
            <w:pPr>
              <w:pStyle w:val="2"/>
            </w:pPr>
          </w:p>
          <w:p>
            <w:pPr>
              <w:pStyle w:val="2"/>
            </w:pPr>
          </w:p>
          <w:p>
            <w:pPr>
              <w:pStyle w:val="2"/>
            </w:pPr>
          </w:p>
          <w:p>
            <w:pPr>
              <w:pStyle w:val="2"/>
            </w:pPr>
          </w:p>
          <w:p>
            <w:pPr>
              <w:pStyle w:val="2"/>
            </w:pPr>
          </w:p>
          <w:p>
            <w:pPr>
              <w:pStyle w:val="2"/>
            </w:pPr>
            <w:r>
              <w:rPr>
                <w:rFonts w:hint="eastAsia"/>
              </w:rPr>
              <w:t>1套</w:t>
            </w:r>
          </w:p>
        </w:tc>
        <w:tc>
          <w:tcPr>
            <w:tcW w:w="7938" w:type="dxa"/>
            <w:shd w:val="clear" w:color="auto" w:fill="auto"/>
            <w:vAlign w:val="center"/>
          </w:tcPr>
          <w:p>
            <w:pPr>
              <w:rPr>
                <w:rFonts w:ascii="宋体" w:hAnsi="宋体" w:eastAsia="宋体"/>
                <w:color w:val="000000"/>
                <w:sz w:val="24"/>
              </w:rPr>
            </w:pPr>
            <w:r>
              <w:rPr>
                <w:rFonts w:hint="eastAsia" w:ascii="宋体" w:hAnsi="宋体" w:eastAsia="宋体"/>
                <w:color w:val="000000"/>
                <w:sz w:val="24"/>
              </w:rPr>
              <w:t>功能：</w:t>
            </w:r>
          </w:p>
          <w:p>
            <w:pPr>
              <w:ind w:firstLine="480" w:firstLineChars="200"/>
              <w:rPr>
                <w:rFonts w:ascii="宋体" w:hAnsi="宋体" w:eastAsia="宋体"/>
                <w:color w:val="000000"/>
                <w:sz w:val="24"/>
              </w:rPr>
            </w:pPr>
            <w:r>
              <w:rPr>
                <w:rFonts w:hint="eastAsia" w:ascii="宋体" w:hAnsi="宋体" w:eastAsia="宋体"/>
                <w:color w:val="000000"/>
                <w:sz w:val="24"/>
              </w:rPr>
              <w:t>适用于0-6岁特殊儿童感觉统合训练</w:t>
            </w:r>
          </w:p>
          <w:p>
            <w:pPr>
              <w:pStyle w:val="2"/>
              <w:rPr>
                <w:rFonts w:ascii="宋体" w:hAnsi="宋体" w:eastAsia="宋体"/>
                <w:color w:val="000000"/>
                <w:sz w:val="24"/>
              </w:rPr>
            </w:pPr>
            <w:r>
              <w:rPr>
                <w:rFonts w:hint="eastAsia" w:ascii="宋体" w:hAnsi="宋体" w:eastAsia="宋体"/>
                <w:color w:val="000000"/>
                <w:sz w:val="24"/>
              </w:rPr>
              <w:t>技术参数：</w:t>
            </w:r>
          </w:p>
          <w:p>
            <w:pPr>
              <w:pStyle w:val="2"/>
              <w:numPr>
                <w:ilvl w:val="0"/>
                <w:numId w:val="1"/>
              </w:numPr>
              <w:rPr>
                <w:rFonts w:ascii="宋体" w:hAnsi="宋体" w:eastAsia="宋体"/>
                <w:color w:val="000000"/>
                <w:sz w:val="24"/>
              </w:rPr>
            </w:pPr>
            <w:r>
              <w:rPr>
                <w:rFonts w:hint="eastAsia" w:ascii="宋体" w:hAnsi="宋体" w:eastAsia="宋体"/>
                <w:color w:val="000000"/>
                <w:sz w:val="24"/>
              </w:rPr>
              <w:t>包含圆攀爬2套、大陀螺4个、感统滑板车15张、感统脚踏石6对、独角椅（一字柱）5个、有扶手脚踏车7台、无扶手脚踏车2台。</w:t>
            </w:r>
          </w:p>
          <w:p>
            <w:pPr>
              <w:pStyle w:val="2"/>
              <w:numPr>
                <w:ilvl w:val="0"/>
                <w:numId w:val="1"/>
              </w:numPr>
              <w:rPr>
                <w:rFonts w:ascii="宋体" w:hAnsi="宋体" w:eastAsia="宋体"/>
                <w:color w:val="000000"/>
                <w:sz w:val="24"/>
              </w:rPr>
            </w:pPr>
            <w:r>
              <w:rPr>
                <w:rFonts w:hint="eastAsia" w:ascii="宋体" w:hAnsi="宋体" w:eastAsia="宋体"/>
                <w:color w:val="000000"/>
                <w:sz w:val="24"/>
              </w:rPr>
              <w:t>圆攀爬直径为133cm±5%，宽42cm±5%。主体为hdpe材质包含4个四分之一圆弧、攀爬杆20条、塑料螺帽40个、小号填充物8个、大号填充物4个、pvc防滑脚套8个、塑料螺帽扳手1个、金属内六角扳手1个，配备滑梯板，滑梯板反面为攀岩板。圆弧与圆弧直接采用金属片加金属螺丝加固。边缘圆滑无毛刺。</w:t>
            </w:r>
          </w:p>
          <w:p>
            <w:pPr>
              <w:pStyle w:val="2"/>
              <w:numPr>
                <w:ilvl w:val="0"/>
                <w:numId w:val="1"/>
              </w:numPr>
              <w:rPr>
                <w:rFonts w:ascii="宋体" w:hAnsi="宋体" w:eastAsia="宋体"/>
                <w:color w:val="000000"/>
                <w:sz w:val="24"/>
              </w:rPr>
            </w:pPr>
            <w:r>
              <w:rPr>
                <w:rFonts w:hint="eastAsia" w:ascii="宋体" w:hAnsi="宋体" w:eastAsia="宋体"/>
                <w:color w:val="000000"/>
                <w:sz w:val="24"/>
              </w:rPr>
              <w:t>大陀螺为pp材质， 4个尖底，直径75cm~80cm，深度30cm~40cm。边缘有防倒扣夹手设计。边缘圆润无毛刺。</w:t>
            </w:r>
          </w:p>
          <w:p>
            <w:pPr>
              <w:pStyle w:val="2"/>
              <w:numPr>
                <w:ilvl w:val="0"/>
                <w:numId w:val="1"/>
              </w:numPr>
              <w:rPr>
                <w:rFonts w:ascii="宋体" w:hAnsi="宋体" w:eastAsia="宋体"/>
                <w:color w:val="000000"/>
                <w:sz w:val="24"/>
              </w:rPr>
            </w:pPr>
            <w:r>
              <w:rPr>
                <w:rFonts w:hint="eastAsia" w:ascii="宋体" w:hAnsi="宋体" w:eastAsia="宋体"/>
                <w:color w:val="000000"/>
                <w:sz w:val="24"/>
              </w:rPr>
              <w:t>感统滑板车尺寸中号，适合1—6岁儿童使用，尺寸42cm*40cm±10%。采用hdpe材质，可承重50kg。配备4个万向静音轮，滑板车前后都具有穿绳孔。</w:t>
            </w:r>
          </w:p>
          <w:p>
            <w:pPr>
              <w:pStyle w:val="2"/>
              <w:numPr>
                <w:ilvl w:val="0"/>
                <w:numId w:val="1"/>
              </w:numPr>
              <w:rPr>
                <w:rFonts w:ascii="宋体" w:hAnsi="宋体" w:eastAsia="宋体"/>
                <w:color w:val="000000"/>
                <w:sz w:val="24"/>
              </w:rPr>
            </w:pPr>
            <w:r>
              <w:rPr>
                <w:rFonts w:hint="eastAsia" w:ascii="宋体" w:hAnsi="宋体" w:eastAsia="宋体"/>
                <w:color w:val="000000"/>
                <w:sz w:val="24"/>
              </w:rPr>
              <w:t>有扶手脚踏车尺寸为H55*L45*W35cm±10%。可承重50kg。4轮为防滑静音轮，扶手为金属材质并有软包包裹。</w:t>
            </w:r>
          </w:p>
          <w:p>
            <w:pPr>
              <w:pStyle w:val="2"/>
              <w:numPr>
                <w:ilvl w:val="0"/>
                <w:numId w:val="1"/>
              </w:numPr>
              <w:rPr>
                <w:rFonts w:ascii="宋体" w:hAnsi="宋体" w:eastAsia="宋体"/>
                <w:color w:val="000000"/>
                <w:sz w:val="24"/>
              </w:rPr>
            </w:pPr>
            <w:r>
              <w:rPr>
                <w:rFonts w:hint="eastAsia" w:ascii="宋体" w:hAnsi="宋体" w:eastAsia="宋体"/>
                <w:color w:val="000000"/>
                <w:sz w:val="24"/>
              </w:rPr>
              <w:t>无扶手脚踏车尺寸为H15*L36*W36cm±10%。可承重50kg。4轮为防滑静音轮。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96" w:type="dxa"/>
            <w:shd w:val="clear" w:color="auto" w:fill="auto"/>
            <w:noWrap/>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3</w:t>
            </w:r>
          </w:p>
        </w:tc>
        <w:tc>
          <w:tcPr>
            <w:tcW w:w="709" w:type="dxa"/>
            <w:shd w:val="clear" w:color="auto" w:fill="auto"/>
            <w:vAlign w:val="center"/>
          </w:tcPr>
          <w:p>
            <w:pPr>
              <w:widowControl/>
              <w:jc w:val="center"/>
              <w:rPr>
                <w:rFonts w:ascii="宋体" w:hAnsi="宋体" w:eastAsia="宋体" w:cs="Arial"/>
                <w:bCs/>
                <w:kern w:val="0"/>
                <w:sz w:val="24"/>
                <w:szCs w:val="24"/>
              </w:rPr>
            </w:pPr>
            <w:r>
              <w:rPr>
                <w:rFonts w:hint="eastAsia" w:ascii="宋体" w:hAnsi="宋体" w:eastAsia="宋体" w:cs="Arial"/>
                <w:bCs/>
                <w:kern w:val="0"/>
                <w:sz w:val="24"/>
                <w:szCs w:val="24"/>
              </w:rPr>
              <w:t>儿童椅子</w:t>
            </w:r>
          </w:p>
        </w:tc>
        <w:tc>
          <w:tcPr>
            <w:tcW w:w="710" w:type="dxa"/>
          </w:tcPr>
          <w:p>
            <w:pPr>
              <w:rPr>
                <w:rFonts w:ascii="宋体" w:hAnsi="宋体" w:eastAsia="宋体"/>
                <w:color w:val="000000"/>
                <w:sz w:val="24"/>
              </w:rPr>
            </w:pPr>
          </w:p>
          <w:p>
            <w:pPr>
              <w:pStyle w:val="2"/>
            </w:pPr>
          </w:p>
          <w:p>
            <w:pPr>
              <w:pStyle w:val="2"/>
            </w:pPr>
            <w:r>
              <w:rPr>
                <w:rFonts w:hint="eastAsia"/>
              </w:rPr>
              <w:t>50张</w:t>
            </w:r>
          </w:p>
        </w:tc>
        <w:tc>
          <w:tcPr>
            <w:tcW w:w="7938" w:type="dxa"/>
            <w:shd w:val="clear" w:color="auto" w:fill="auto"/>
            <w:vAlign w:val="center"/>
          </w:tcPr>
          <w:p>
            <w:pPr>
              <w:pStyle w:val="2"/>
              <w:rPr>
                <w:rFonts w:ascii="宋体" w:hAnsi="宋体" w:eastAsia="宋体"/>
                <w:color w:val="000000"/>
                <w:sz w:val="24"/>
              </w:rPr>
            </w:pPr>
            <w:r>
              <w:rPr>
                <w:rFonts w:hint="eastAsia" w:ascii="宋体" w:hAnsi="宋体" w:eastAsia="宋体"/>
                <w:color w:val="000000"/>
                <w:sz w:val="24"/>
              </w:rPr>
              <w:t>技术参数：</w:t>
            </w:r>
          </w:p>
          <w:p>
            <w:pPr>
              <w:pStyle w:val="2"/>
              <w:numPr>
                <w:ilvl w:val="0"/>
                <w:numId w:val="2"/>
              </w:numPr>
              <w:rPr>
                <w:rFonts w:ascii="宋体" w:hAnsi="宋体" w:eastAsia="宋体"/>
                <w:color w:val="000000"/>
                <w:sz w:val="24"/>
              </w:rPr>
            </w:pPr>
            <w:r>
              <w:rPr>
                <w:rFonts w:hint="eastAsia" w:ascii="宋体" w:hAnsi="宋体" w:eastAsia="宋体"/>
                <w:color w:val="000000"/>
                <w:sz w:val="24"/>
              </w:rPr>
              <w:t>采用pp材质；</w:t>
            </w:r>
          </w:p>
          <w:p>
            <w:pPr>
              <w:pStyle w:val="2"/>
              <w:numPr>
                <w:ilvl w:val="0"/>
                <w:numId w:val="2"/>
              </w:numPr>
            </w:pPr>
            <w:r>
              <w:rPr>
                <w:rFonts w:hint="eastAsia" w:ascii="宋体" w:hAnsi="宋体" w:eastAsia="宋体"/>
                <w:color w:val="000000"/>
                <w:sz w:val="24"/>
              </w:rPr>
              <w:t>四椅脚具有防滑橡胶；</w:t>
            </w:r>
          </w:p>
          <w:p>
            <w:pPr>
              <w:pStyle w:val="2"/>
              <w:numPr>
                <w:ilvl w:val="0"/>
                <w:numId w:val="2"/>
              </w:numPr>
            </w:pPr>
            <w:r>
              <w:rPr>
                <w:rFonts w:hint="eastAsia" w:ascii="宋体" w:hAnsi="宋体" w:eastAsia="宋体"/>
                <w:color w:val="000000"/>
                <w:sz w:val="24"/>
              </w:rPr>
              <w:t>椅脚为实心椅脚；</w:t>
            </w:r>
          </w:p>
          <w:p>
            <w:pPr>
              <w:pStyle w:val="2"/>
              <w:numPr>
                <w:ilvl w:val="0"/>
                <w:numId w:val="2"/>
              </w:numPr>
            </w:pPr>
            <w:r>
              <w:rPr>
                <w:rFonts w:hint="eastAsia" w:ascii="宋体" w:hAnsi="宋体" w:eastAsia="宋体"/>
                <w:color w:val="000000"/>
                <w:sz w:val="24"/>
              </w:rPr>
              <w:t>具有三档可调节高度，适应3—9岁儿童</w:t>
            </w:r>
          </w:p>
        </w:tc>
      </w:tr>
    </w:tbl>
    <w:p>
      <w:pPr>
        <w:jc w:val="left"/>
        <w:rPr>
          <w:rFonts w:ascii="宋体" w:hAnsi="宋体" w:eastAsia="宋体"/>
          <w:sz w:val="24"/>
          <w:szCs w:val="24"/>
        </w:rPr>
      </w:pPr>
    </w:p>
    <w:p>
      <w:pPr>
        <w:pStyle w:val="2"/>
      </w:pPr>
    </w:p>
    <w:p>
      <w:pPr>
        <w:pStyle w:val="2"/>
        <w:rPr>
          <w:sz w:val="24"/>
        </w:rPr>
      </w:pPr>
      <w:bookmarkStart w:id="0" w:name="_GoBack"/>
      <w:bookmarkEnd w:id="0"/>
      <w:r>
        <w:rPr>
          <w:rFonts w:hint="eastAsia"/>
          <w:sz w:val="24"/>
        </w:rPr>
        <w:t xml:space="preserve">                                </w:t>
      </w:r>
    </w:p>
    <w:sectPr>
      <w:footerReference r:id="rId3" w:type="default"/>
      <w:pgSz w:w="11906" w:h="16838"/>
      <w:pgMar w:top="993" w:right="1800" w:bottom="851" w:left="1800" w:header="851" w:footer="32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0435C"/>
    <w:multiLevelType w:val="singleLevel"/>
    <w:tmpl w:val="1560435C"/>
    <w:lvl w:ilvl="0" w:tentative="0">
      <w:start w:val="1"/>
      <w:numFmt w:val="decimal"/>
      <w:lvlText w:val="%1."/>
      <w:lvlJc w:val="left"/>
      <w:pPr>
        <w:tabs>
          <w:tab w:val="left" w:pos="312"/>
        </w:tabs>
      </w:pPr>
    </w:lvl>
  </w:abstractNum>
  <w:abstractNum w:abstractNumId="1">
    <w:nsid w:val="6D7735BD"/>
    <w:multiLevelType w:val="multilevel"/>
    <w:tmpl w:val="6D773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lNzFkNjNhOGRkZGRhNWY5ODQxZmNhZDc5NzZkOWUifQ=="/>
  </w:docVars>
  <w:rsids>
    <w:rsidRoot w:val="00676542"/>
    <w:rsid w:val="00161310"/>
    <w:rsid w:val="00164907"/>
    <w:rsid w:val="00183B9C"/>
    <w:rsid w:val="001C6354"/>
    <w:rsid w:val="00220222"/>
    <w:rsid w:val="002614FC"/>
    <w:rsid w:val="002676CB"/>
    <w:rsid w:val="00270197"/>
    <w:rsid w:val="003A79EA"/>
    <w:rsid w:val="003D4319"/>
    <w:rsid w:val="003F08CB"/>
    <w:rsid w:val="003F5091"/>
    <w:rsid w:val="004625C2"/>
    <w:rsid w:val="00462EC4"/>
    <w:rsid w:val="004712C5"/>
    <w:rsid w:val="004A5CBB"/>
    <w:rsid w:val="004B23E9"/>
    <w:rsid w:val="004E151E"/>
    <w:rsid w:val="005124C4"/>
    <w:rsid w:val="0052654D"/>
    <w:rsid w:val="005428E5"/>
    <w:rsid w:val="00676542"/>
    <w:rsid w:val="006B32BF"/>
    <w:rsid w:val="006D1E34"/>
    <w:rsid w:val="00751889"/>
    <w:rsid w:val="007F4F27"/>
    <w:rsid w:val="00871BC0"/>
    <w:rsid w:val="008777A7"/>
    <w:rsid w:val="0091558C"/>
    <w:rsid w:val="00935722"/>
    <w:rsid w:val="00972D8F"/>
    <w:rsid w:val="009A1150"/>
    <w:rsid w:val="009D09EA"/>
    <w:rsid w:val="009F2A77"/>
    <w:rsid w:val="00A35740"/>
    <w:rsid w:val="00B005D3"/>
    <w:rsid w:val="00B74557"/>
    <w:rsid w:val="00BE1E91"/>
    <w:rsid w:val="00C752D4"/>
    <w:rsid w:val="00C946DF"/>
    <w:rsid w:val="00D55C77"/>
    <w:rsid w:val="00D64798"/>
    <w:rsid w:val="00E014A9"/>
    <w:rsid w:val="00E2027C"/>
    <w:rsid w:val="00EB74E3"/>
    <w:rsid w:val="00ED1187"/>
    <w:rsid w:val="00EE64D7"/>
    <w:rsid w:val="00F23E27"/>
    <w:rsid w:val="00FB7385"/>
    <w:rsid w:val="0ADD4B8A"/>
    <w:rsid w:val="24454B90"/>
    <w:rsid w:val="4BF72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3">
    <w:name w:val="Balloon Text"/>
    <w:basedOn w:val="1"/>
    <w:link w:val="11"/>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1197</Words>
  <Characters>1294</Characters>
  <Lines>9</Lines>
  <Paragraphs>2</Paragraphs>
  <TotalTime>223</TotalTime>
  <ScaleCrop>false</ScaleCrop>
  <LinksUpToDate>false</LinksUpToDate>
  <CharactersWithSpaces>1330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2024-07-25T08:51:00Z</dcterms:created>
  <dc:creator>Administrator</dc:creator>
  <cp:lastModifiedBy>ChiramZL</cp:lastModifiedBy>
  <cp:lastPrinted>2024-07-23T00:47:00Z</cp:lastPrinted>
  <dcterms:modified xsi:type="dcterms:W3CDTF">2024-08-14T12:21:07Z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32BE679F6A16425BA917590EB8DB537E_13</vt:lpwstr>
  </property>
</Properties>
</file>